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台州市嘟迪婴幼儿用品有限公司</w:t>
      </w:r>
      <w:r>
        <w:rPr>
          <w:rFonts w:hint="eastAsia" w:ascii="宋体" w:hAnsi="宋体" w:cs="宋体"/>
          <w:b/>
          <w:kern w:val="0"/>
          <w:sz w:val="32"/>
          <w:szCs w:val="32"/>
        </w:rPr>
        <w:t>破产清算案</w:t>
      </w:r>
    </w:p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债 权 申 报 须 知</w:t>
      </w:r>
    </w:p>
    <w:p>
      <w:pPr>
        <w:snapToGrid w:val="0"/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pacing w:line="44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018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戴建伟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台州市嘟迪婴幼儿用品有限公司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ascii="仿宋" w:hAnsi="仿宋" w:eastAsia="仿宋" w:cs="宋体"/>
          <w:kern w:val="0"/>
          <w:sz w:val="28"/>
          <w:szCs w:val="28"/>
        </w:rPr>
        <w:t>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于2019年1月21日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台州市嘟迪婴幼儿用品有限公司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widowControl/>
        <w:spacing w:line="44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台州市嘟迪婴幼儿用品有限公司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widowControl/>
        <w:adjustRightInd w:val="0"/>
        <w:spacing w:line="440" w:lineRule="exact"/>
        <w:ind w:firstLine="548" w:firstLineChars="196"/>
        <w:jc w:val="left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计算截止时间为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2018年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widowControl/>
        <w:adjustRightInd w:val="0"/>
        <w:spacing w:line="440" w:lineRule="exact"/>
        <w:ind w:firstLine="551" w:firstLineChars="196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文庆街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7 6</w:t>
      </w:r>
      <w:r>
        <w:rPr>
          <w:rFonts w:hint="eastAsia" w:ascii="仿宋" w:hAnsi="仿宋" w:eastAsia="仿宋"/>
          <w:kern w:val="0"/>
          <w:sz w:val="28"/>
          <w:szCs w:val="28"/>
        </w:rPr>
        <w:t>号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楼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440" w:lineRule="exact"/>
        <w:ind w:firstLine="562" w:firstLineChars="200"/>
        <w:jc w:val="left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widowControl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台州市嘟迪婴幼儿用品有限公司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widowControl/>
        <w:adjustRightInd w:val="0"/>
        <w:spacing w:line="440" w:lineRule="exact"/>
        <w:ind w:firstLine="560" w:firstLineChars="2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440" w:lineRule="exact"/>
        <w:ind w:firstLine="3080" w:firstLineChars="1100"/>
        <w:jc w:val="left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widowControl/>
        <w:adjustRightInd w:val="0"/>
        <w:spacing w:line="440" w:lineRule="exact"/>
        <w:ind w:right="560"/>
        <w:jc w:val="right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台州市嘟迪婴幼儿用品有限公司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widowControl/>
        <w:adjustRightInd w:val="0"/>
        <w:spacing w:line="440" w:lineRule="exact"/>
        <w:ind w:right="560"/>
        <w:jc w:val="center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15E07821"/>
    <w:rsid w:val="266B2DBF"/>
    <w:rsid w:val="27D615D6"/>
    <w:rsid w:val="31172152"/>
    <w:rsid w:val="35385A46"/>
    <w:rsid w:val="35D540CE"/>
    <w:rsid w:val="49047E5D"/>
    <w:rsid w:val="55AE4460"/>
    <w:rsid w:val="6B923207"/>
    <w:rsid w:val="6D535020"/>
    <w:rsid w:val="771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奈落</cp:lastModifiedBy>
  <dcterms:modified xsi:type="dcterms:W3CDTF">2019-03-21T02:31:07Z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