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仿宋_GB2312"/>
          <w:b/>
          <w:sz w:val="40"/>
          <w:szCs w:val="40"/>
          <w:lang w:val="en-US" w:eastAsia="zh-CN"/>
        </w:rPr>
        <w:t>临海市朝华工艺品有限公司</w:t>
      </w:r>
      <w:r>
        <w:rPr>
          <w:rFonts w:hint="eastAsia" w:ascii="宋体" w:hAnsi="宋体" w:cs="宋体"/>
          <w:b/>
          <w:kern w:val="0"/>
          <w:sz w:val="40"/>
          <w:szCs w:val="40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台州市中级人民法院作出（2020）浙10破申16号民事裁定书，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台州市丰蔚家居用品科技有限公司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临海市朝华工艺品有限公司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清算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并作出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（2020）浙10破7号决定书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临海市朝华工艺品有限公司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临海市朝华工艺品有限公司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台州市中级人民法院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jc w:val="both"/>
        <w:textAlignment w:val="baseline"/>
        <w:rPr>
          <w:rFonts w:hint="eastAsia" w:ascii="仿宋" w:hAnsi="仿宋" w:eastAsia="仿宋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截止时间为破产清算裁定受理之日即2020年1月17日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尤志坚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；蔡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倩莹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临海市朝华工艺品有限公司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firstLine="3080" w:firstLineChars="11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临海市朝华工艺品有限公司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40" w:lineRule="exact"/>
        <w:ind w:right="56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二○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○年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08586DA5"/>
    <w:rsid w:val="15E07821"/>
    <w:rsid w:val="17485CE0"/>
    <w:rsid w:val="1F853802"/>
    <w:rsid w:val="266B2DBF"/>
    <w:rsid w:val="27D615D6"/>
    <w:rsid w:val="2B2D37E5"/>
    <w:rsid w:val="2BEB4157"/>
    <w:rsid w:val="31172152"/>
    <w:rsid w:val="35385A46"/>
    <w:rsid w:val="35D540CE"/>
    <w:rsid w:val="3F0965E7"/>
    <w:rsid w:val="465260AF"/>
    <w:rsid w:val="49047E5D"/>
    <w:rsid w:val="55AE4460"/>
    <w:rsid w:val="58226E7A"/>
    <w:rsid w:val="60203652"/>
    <w:rsid w:val="6B923207"/>
    <w:rsid w:val="6D535020"/>
    <w:rsid w:val="714D7634"/>
    <w:rsid w:val="766D4228"/>
    <w:rsid w:val="771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一个。</cp:lastModifiedBy>
  <cp:lastPrinted>2019-12-27T01:31:00Z</cp:lastPrinted>
  <dcterms:modified xsi:type="dcterms:W3CDTF">2020-03-03T02:49:29Z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