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浙江国荣塑业有限公司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临海市人民法院作出（2020）浙1082破申23号民事裁定书，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浙江临海农村商业银行股份有限公司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浙江国荣塑业有限公司的破产清算申请，并于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2020年10月26日作出（2020）浙1082破申32号决定书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担任浙江国荣塑业有限公司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浙江国荣塑业有限公司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630" w:firstLineChars="196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特别提示：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630" w:firstLineChars="196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及捺指印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3、债权凭证及其相关证据材料复印件1份（原件须交管理人核对）；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特别提示：上述文件为个人自行申报的均须签字及捺指印确认。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630" w:firstLineChars="196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；蔡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643" w:firstLineChars="200"/>
        <w:jc w:val="both"/>
        <w:textAlignment w:val="baseline"/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四、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关于第一次债权人会议：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color w:val="FF0000"/>
          <w:kern w:val="0"/>
          <w:sz w:val="28"/>
          <w:szCs w:val="28"/>
          <w:lang w:val="en-US" w:eastAsia="zh-CN"/>
        </w:rPr>
        <w:t>会议时间：2020年12月16日上午9:30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临海市人民法院第九法庭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2240" w:firstLineChars="8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（浙江省临海市东方大道10号）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第一次债权人会议将对浙江国荣塑业有限公司《债权人会议议事规则 》、《债权人会议表决规则》、《破产财产变价方案》、《破产财产分配方案》、《债权表》、《管理人报酬方案》等进行审议表决。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643" w:firstLineChars="200"/>
        <w:jc w:val="both"/>
        <w:textAlignment w:val="baseline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浙江国荣塑业有限公司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浙江国荣塑业有限公司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二○二○年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三十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4FB7BE7"/>
    <w:rsid w:val="153C192C"/>
    <w:rsid w:val="15E07821"/>
    <w:rsid w:val="17FB0DB9"/>
    <w:rsid w:val="1A922C4F"/>
    <w:rsid w:val="1DC84C9C"/>
    <w:rsid w:val="1F853802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DF1501B"/>
    <w:rsid w:val="465260AF"/>
    <w:rsid w:val="49047E5D"/>
    <w:rsid w:val="49A6546F"/>
    <w:rsid w:val="4ADC162A"/>
    <w:rsid w:val="4FB44869"/>
    <w:rsid w:val="55AE4460"/>
    <w:rsid w:val="58226E7A"/>
    <w:rsid w:val="60203652"/>
    <w:rsid w:val="6B923207"/>
    <w:rsid w:val="6D535020"/>
    <w:rsid w:val="766D4228"/>
    <w:rsid w:val="77181399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dcterms:modified xsi:type="dcterms:W3CDTF">2020-11-06T00:53:31Z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