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日，台州市椒江区人民法院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</w:t>
      </w:r>
      <w:r>
        <w:rPr>
          <w:rFonts w:hint="eastAsia" w:ascii="仿宋" w:hAnsi="仿宋" w:eastAsia="仿宋" w:cs="宋体"/>
          <w:kern w:val="0"/>
          <w:sz w:val="28"/>
          <w:szCs w:val="28"/>
        </w:rPr>
        <w:t>（2021）浙1002破申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28"/>
          <w:szCs w:val="28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裁定受理浙江台州椒江农村商业银行股份有限公司前所支行对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台州市椒江椒前索具有限公司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2021年7月21日作出（2021）浙1002破19号决定书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担任台州市椒江椒前索具有限公司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台州市椒江椒前索具有限公司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台州市椒江区人民法院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会议时间：2021年9月8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日上午8时45分；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台州市椒江区人民法院第八审判庭；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（浙江省台州市椒江区云西路233号）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第一次债权人会议将对台州市椒江椒前索具有限公司《债权人会议议事规则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台州市椒江椒前索具有限公司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台州市椒江椒前索具有限公司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4FB7BE7"/>
    <w:rsid w:val="153C192C"/>
    <w:rsid w:val="154214A4"/>
    <w:rsid w:val="15E07821"/>
    <w:rsid w:val="17FB0DB9"/>
    <w:rsid w:val="1A922C4F"/>
    <w:rsid w:val="1DC84C9C"/>
    <w:rsid w:val="1F853802"/>
    <w:rsid w:val="266B2DBF"/>
    <w:rsid w:val="27D615D6"/>
    <w:rsid w:val="2AE53FB9"/>
    <w:rsid w:val="2B2D37E5"/>
    <w:rsid w:val="2B765184"/>
    <w:rsid w:val="2BEB4157"/>
    <w:rsid w:val="31172152"/>
    <w:rsid w:val="35385A46"/>
    <w:rsid w:val="35D540CE"/>
    <w:rsid w:val="37DA642F"/>
    <w:rsid w:val="394E54D4"/>
    <w:rsid w:val="3DF1501B"/>
    <w:rsid w:val="40616646"/>
    <w:rsid w:val="465260AF"/>
    <w:rsid w:val="49047E5D"/>
    <w:rsid w:val="49A6546F"/>
    <w:rsid w:val="4ADC162A"/>
    <w:rsid w:val="4CCE5D48"/>
    <w:rsid w:val="4DD8316A"/>
    <w:rsid w:val="4FB44869"/>
    <w:rsid w:val="55AE4460"/>
    <w:rsid w:val="58226E7A"/>
    <w:rsid w:val="5D7F5C83"/>
    <w:rsid w:val="5EA94AD1"/>
    <w:rsid w:val="5FEA1F2D"/>
    <w:rsid w:val="60203652"/>
    <w:rsid w:val="63BA1431"/>
    <w:rsid w:val="6A0B780C"/>
    <w:rsid w:val="6B923207"/>
    <w:rsid w:val="6D535020"/>
    <w:rsid w:val="721B7C23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2021-03-01T06:53:00Z</cp:lastPrinted>
  <dcterms:modified xsi:type="dcterms:W3CDTF">2021-08-06T03:28:52Z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17184BE6B0A24B3FAB66CABD83AF8F20</vt:lpwstr>
  </property>
</Properties>
</file>